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DC01" w14:textId="35C95DFE" w:rsidR="00221962" w:rsidRDefault="0061184F" w:rsidP="00D60FE5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Až d</w:t>
      </w:r>
      <w:r w:rsidR="008814C2">
        <w:rPr>
          <w:rFonts w:ascii="Arial" w:hAnsi="Arial" w:cs="Arial"/>
          <w:b/>
          <w:bCs/>
          <w:sz w:val="44"/>
          <w:szCs w:val="44"/>
        </w:rPr>
        <w:t xml:space="preserve">va gigawatty </w:t>
      </w:r>
      <w:r>
        <w:rPr>
          <w:rFonts w:ascii="Arial" w:hAnsi="Arial" w:cs="Arial"/>
          <w:b/>
          <w:bCs/>
          <w:sz w:val="44"/>
          <w:szCs w:val="44"/>
        </w:rPr>
        <w:t xml:space="preserve">solárních </w:t>
      </w:r>
      <w:r w:rsidR="008814C2">
        <w:rPr>
          <w:rFonts w:ascii="Arial" w:hAnsi="Arial" w:cs="Arial"/>
          <w:b/>
          <w:bCs/>
          <w:sz w:val="44"/>
          <w:szCs w:val="44"/>
        </w:rPr>
        <w:t>elektráren</w:t>
      </w:r>
      <w:r w:rsidR="004C52B8">
        <w:rPr>
          <w:rFonts w:ascii="Arial" w:hAnsi="Arial" w:cs="Arial"/>
          <w:b/>
          <w:bCs/>
          <w:sz w:val="44"/>
          <w:szCs w:val="44"/>
        </w:rPr>
        <w:t xml:space="preserve"> v Česku zastaráv</w:t>
      </w:r>
      <w:r w:rsidR="008814C2">
        <w:rPr>
          <w:rFonts w:ascii="Arial" w:hAnsi="Arial" w:cs="Arial"/>
          <w:b/>
          <w:bCs/>
          <w:sz w:val="44"/>
          <w:szCs w:val="44"/>
        </w:rPr>
        <w:t>ají</w:t>
      </w:r>
      <w:r w:rsidR="004C52B8">
        <w:rPr>
          <w:rFonts w:ascii="Arial" w:hAnsi="Arial" w:cs="Arial"/>
          <w:b/>
          <w:bCs/>
          <w:sz w:val="44"/>
          <w:szCs w:val="44"/>
        </w:rPr>
        <w:t xml:space="preserve">, </w:t>
      </w:r>
      <w:r w:rsidR="00C321B7">
        <w:rPr>
          <w:rFonts w:ascii="Arial" w:hAnsi="Arial" w:cs="Arial"/>
          <w:b/>
          <w:bCs/>
          <w:sz w:val="44"/>
          <w:szCs w:val="44"/>
        </w:rPr>
        <w:t>m</w:t>
      </w:r>
      <w:r w:rsidR="003C2B6D">
        <w:rPr>
          <w:rFonts w:ascii="Arial" w:hAnsi="Arial" w:cs="Arial"/>
          <w:b/>
          <w:bCs/>
          <w:sz w:val="44"/>
          <w:szCs w:val="44"/>
        </w:rPr>
        <w:t>ohou</w:t>
      </w:r>
      <w:r w:rsidR="00C321B7">
        <w:rPr>
          <w:rFonts w:ascii="Arial" w:hAnsi="Arial" w:cs="Arial"/>
          <w:b/>
          <w:bCs/>
          <w:sz w:val="44"/>
          <w:szCs w:val="44"/>
        </w:rPr>
        <w:t xml:space="preserve"> </w:t>
      </w:r>
      <w:r w:rsidR="00EC4BF6">
        <w:rPr>
          <w:rFonts w:ascii="Arial" w:hAnsi="Arial" w:cs="Arial"/>
          <w:b/>
          <w:bCs/>
          <w:sz w:val="44"/>
          <w:szCs w:val="44"/>
        </w:rPr>
        <w:t xml:space="preserve">přitom </w:t>
      </w:r>
      <w:r w:rsidR="00F92D4D">
        <w:rPr>
          <w:rFonts w:ascii="Arial" w:hAnsi="Arial" w:cs="Arial"/>
          <w:b/>
          <w:bCs/>
          <w:sz w:val="44"/>
          <w:szCs w:val="44"/>
        </w:rPr>
        <w:t>vyrábět energie</w:t>
      </w:r>
      <w:r w:rsidR="003C2B6D" w:rsidRPr="003C2B6D">
        <w:rPr>
          <w:rFonts w:ascii="Arial" w:hAnsi="Arial" w:cs="Arial"/>
          <w:b/>
          <w:bCs/>
          <w:sz w:val="44"/>
          <w:szCs w:val="44"/>
        </w:rPr>
        <w:t xml:space="preserve"> </w:t>
      </w:r>
      <w:r w:rsidR="003C2B6D">
        <w:rPr>
          <w:rFonts w:ascii="Arial" w:hAnsi="Arial" w:cs="Arial"/>
          <w:b/>
          <w:bCs/>
          <w:sz w:val="44"/>
          <w:szCs w:val="44"/>
        </w:rPr>
        <w:t>mnohem víc</w:t>
      </w:r>
    </w:p>
    <w:p w14:paraId="4E916DBD" w14:textId="77777777" w:rsidR="00FD065D" w:rsidRDefault="00FD065D" w:rsidP="005218B2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750DB0E0" w14:textId="77777777" w:rsidR="0081184D" w:rsidRDefault="0081184D" w:rsidP="00D8636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200A6BB4" w14:textId="3B863CAA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BD2135">
        <w:rPr>
          <w:rFonts w:ascii="Arial" w:hAnsi="Arial" w:cs="Arial"/>
          <w:b/>
          <w:bCs/>
          <w:sz w:val="24"/>
        </w:rPr>
        <w:t>21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FE6B3E">
        <w:rPr>
          <w:rFonts w:ascii="Arial" w:hAnsi="Arial" w:cs="Arial"/>
          <w:b/>
          <w:bCs/>
          <w:sz w:val="24"/>
        </w:rPr>
        <w:t>května</w:t>
      </w:r>
      <w:r w:rsidR="00E034B6">
        <w:rPr>
          <w:rFonts w:ascii="Arial" w:hAnsi="Arial" w:cs="Arial"/>
          <w:b/>
          <w:bCs/>
          <w:sz w:val="24"/>
        </w:rPr>
        <w:t xml:space="preserve"> 202</w:t>
      </w:r>
      <w:r w:rsidR="00DF0CB4">
        <w:rPr>
          <w:rFonts w:ascii="Arial" w:hAnsi="Arial" w:cs="Arial"/>
          <w:b/>
          <w:bCs/>
          <w:sz w:val="24"/>
        </w:rPr>
        <w:t>4</w:t>
      </w:r>
    </w:p>
    <w:p w14:paraId="430DA7CB" w14:textId="77777777" w:rsidR="00EC0C78" w:rsidRDefault="00EC0C78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5619D4C6" w14:textId="4B3F0624" w:rsidR="00FE6B3E" w:rsidRDefault="00075D7F" w:rsidP="00817048">
      <w:pPr>
        <w:pStyle w:val="Podnadpis"/>
        <w:spacing w:before="0" w:after="0"/>
        <w:jc w:val="both"/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</w:pPr>
      <w:r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Více než polovinu </w:t>
      </w:r>
      <w:r w:rsidR="0073500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solární </w:t>
      </w:r>
      <w:r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energie </w:t>
      </w:r>
      <w:r w:rsidR="0073500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v Česku</w:t>
      </w:r>
      <w:r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vyrábějí zařízení</w:t>
      </w:r>
      <w:r w:rsidR="00945140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stará třináct let a více</w:t>
      </w:r>
      <w:r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. </w:t>
      </w:r>
      <w:r w:rsidR="00FE6B3E" w:rsidRPr="00FE6B3E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Komponenty těchto instalací </w:t>
      </w:r>
      <w:r w:rsidR="00EB1F4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degradují</w:t>
      </w:r>
      <w:r w:rsidR="00945140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9A396D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a </w:t>
      </w:r>
      <w:r w:rsidR="0073500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bude je</w:t>
      </w:r>
      <w:r w:rsidR="00001DB7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73500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potřeba</w:t>
      </w:r>
      <w:r w:rsidR="007737AD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brzy</w:t>
      </w:r>
      <w:r w:rsidR="0073500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modernizovat</w:t>
      </w:r>
      <w:r w:rsidR="009A396D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. Stáří technologií má </w:t>
      </w:r>
      <w:r w:rsidR="0073500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totiž úměrný</w:t>
      </w:r>
      <w:r w:rsidR="009A396D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vliv na jejich celkovou výkonnost, která se s každým rokem snižuje.</w:t>
      </w:r>
      <w:r w:rsidR="009A396D" w:rsidRPr="00FE6B3E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FE6B3E" w:rsidRPr="00FE6B3E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Na rozdíl od zahraničí, kde </w:t>
      </w:r>
      <w:r w:rsidR="00E43C7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s</w:t>
      </w:r>
      <w:r w:rsidR="00FE6B3E" w:rsidRPr="00FE6B3E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e modernizace solárních elektráren</w:t>
      </w:r>
      <w:r w:rsidR="003F725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3F725A" w:rsidRPr="003F725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–</w:t>
      </w:r>
      <w:r w:rsidR="00FE6B3E" w:rsidRPr="00FE6B3E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t</w:t>
      </w:r>
      <w:r w:rsidR="003F725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akzvaný</w:t>
      </w:r>
      <w:r w:rsidR="00FE6B3E" w:rsidRPr="00FE6B3E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repowering </w:t>
      </w:r>
      <w:r w:rsidR="003F725A" w:rsidRPr="003F725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–</w:t>
      </w:r>
      <w:r w:rsidR="003F725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E43C7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už provádí</w:t>
      </w:r>
      <w:r w:rsidR="00FE6B3E" w:rsidRPr="00FE6B3E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, v Česku se na nástup tohoto trendu teprve čeká. Repowering přitom představuje příležitost, jak vyrábět více elektřiny, aniž by bylo nutné solárními systémy osadit další plochy.</w:t>
      </w:r>
    </w:p>
    <w:p w14:paraId="088C9868" w14:textId="77777777" w:rsidR="00817048" w:rsidRDefault="00817048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</w:p>
    <w:p w14:paraId="4598CB1F" w14:textId="7FE23BC5" w:rsidR="00FE6B3E" w:rsidRPr="00FE6B3E" w:rsidRDefault="00103C8D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Bezmála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E311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dva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7D37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gigawatty</w:t>
      </w:r>
      <w:r w:rsidR="009A4B4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tedy více než polovina z celkového instalovaného výkonu (3,6 </w:t>
      </w:r>
      <w:r w:rsidR="00D060D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gigawatt</w:t>
      </w:r>
      <w:r w:rsidR="007E34F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ů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) všech </w:t>
      </w:r>
      <w:r w:rsidR="00CA1B3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fotovoltaických elektráren 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</w:t>
      </w:r>
      <w:r w:rsidR="00CA1B3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 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Česku</w:t>
      </w:r>
      <w:r w:rsidR="00CA1B3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je starší </w:t>
      </w:r>
      <w:r w:rsidR="00131E2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třinácti</w:t>
      </w:r>
      <w:r w:rsidR="00131E29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let a v následující</w:t>
      </w:r>
      <w:r w:rsidR="00CA1B3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c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h letech si vyžádá obměnu</w:t>
      </w:r>
      <w:r w:rsidR="00FE6B3E" w:rsidRPr="00B83E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. Jedná se zhruba o </w:t>
      </w:r>
      <w:r w:rsidRPr="00B83E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13</w:t>
      </w:r>
      <w:r w:rsidR="00FE6B3E" w:rsidRPr="00B83E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tisíc elektráren, </w:t>
      </w:r>
      <w:r w:rsidR="00F501CE" w:rsidRPr="00B83E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které byly v Česku instalovány do roku 2011 a </w:t>
      </w:r>
      <w:r w:rsidR="00FE6B3E" w:rsidRPr="00B83E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kterých se </w:t>
      </w:r>
      <w:r w:rsidR="00F501CE" w:rsidRPr="00B83E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tedy </w:t>
      </w:r>
      <w:r w:rsidR="00FE6B3E" w:rsidRPr="00B83E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zastarávání aktuálně nejvíce týká</w:t>
      </w:r>
      <w:r w:rsidR="00DE5DF1" w:rsidRPr="00B83E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  <w:r w:rsidR="00FE6B3E" w:rsidRPr="00B83E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2B346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 celé Evropě a USA by se dle odhadu analytiků mělo do roku 2030 své hranici životnosti přiblížit i více než </w:t>
      </w:r>
      <w:r w:rsidR="00237E2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100</w:t>
      </w:r>
      <w:r w:rsidR="00237E2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2B346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gigawattů fotovoltaických elektráren.</w:t>
      </w:r>
      <w:r w:rsidR="00C321B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</w:p>
    <w:p w14:paraId="0FB22AF7" w14:textId="77777777" w:rsidR="00817048" w:rsidRDefault="00817048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</w:p>
    <w:p w14:paraId="3C6E50F0" w14:textId="66001A13" w:rsidR="00DE5DF1" w:rsidRPr="00FE6B3E" w:rsidRDefault="00DE5DF1" w:rsidP="00DE5DF1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12178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FE6B3E" w:rsidRPr="0012178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Příležitostí pro stárnoucí fotovoltaiky je repowering, při kterém dochází k výměně části komponent, nejčastěji panelů</w:t>
      </w:r>
      <w:r w:rsidR="00CA1B34" w:rsidRPr="0012178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,</w:t>
      </w:r>
      <w:r w:rsidR="00FE6B3E" w:rsidRPr="0012178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za nové, výkonnější. Celková efektivita stávajícího systému se tak zvýší až o </w:t>
      </w:r>
      <w:r w:rsidR="00575CD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30</w:t>
      </w:r>
      <w:r w:rsidR="00575CD1" w:rsidRPr="0012178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E3113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procent</w:t>
      </w:r>
      <w:r w:rsidR="00FE6B3E" w:rsidRPr="0012178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.</w:t>
      </w:r>
      <w:r w:rsidR="00817048" w:rsidRPr="0012178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FE6B3E" w:rsidRPr="0012178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Repowering umožňuje výrazné zvýšení výroby elektřiny, kdy panely na menší ploše vyrobí stejný objem elektřiny jako doposud a na uvolněné ploše </w:t>
      </w:r>
      <w:r w:rsidR="00131E29" w:rsidRPr="0012178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pak </w:t>
      </w:r>
      <w:r w:rsidR="00FE6B3E" w:rsidRPr="0012178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lze vybudovat zcela nový systém</w:t>
      </w:r>
      <w:r w:rsidRPr="0012178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,“</w:t>
      </w:r>
      <w:r w:rsidR="007D747A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vysvětluje</w:t>
      </w:r>
      <w:r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Aleš Spáčil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spolumajitel společnosti Greenbuddies, která má zkušenosti z více </w:t>
      </w:r>
      <w:r w:rsidR="00C321B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než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třiceti repoweringových projektů v Itálii,</w:t>
      </w:r>
      <w:r w:rsidR="007D747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 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Německu</w:t>
      </w:r>
      <w:r w:rsidR="007D747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 Nizozemí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  <w:r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</w:p>
    <w:p w14:paraId="2DCE0B92" w14:textId="77777777" w:rsidR="00817048" w:rsidRDefault="00817048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</w:p>
    <w:p w14:paraId="24E1C621" w14:textId="340C2840" w:rsidR="00C9424E" w:rsidRDefault="00FE6B3E" w:rsidP="00A32681">
      <w:pPr>
        <w:pStyle w:val="Podnadpis"/>
        <w:spacing w:before="0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 w:rsidRPr="00FE6B3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7B6B2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Například v německé obci Wölfersheim jsme realizovali repowering </w:t>
      </w:r>
      <w:r w:rsidR="00327EE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elektrárny o výkonu 5,7 megawattpeaků. </w:t>
      </w:r>
      <w:r w:rsidR="00D07B7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A p</w:t>
      </w:r>
      <w:r w:rsidR="00327EE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rotože nové panely zabraly daleko méně místa, bylo možné vedle původního systému instalovat nový s výkonem 1,5 megawatpeaků</w:t>
      </w:r>
      <w:r w:rsidR="001F1FCA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,“</w:t>
      </w:r>
      <w:r w:rsidRPr="00FE6B3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uvádí příklad z praxe Aleš Spáčil.</w:t>
      </w:r>
      <w:r w:rsidR="00DE5DF1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</w:p>
    <w:p w14:paraId="72B7CF01" w14:textId="451A2BEC" w:rsidR="00FE6B3E" w:rsidRDefault="00FE6B3E" w:rsidP="00817048">
      <w:pPr>
        <w:pStyle w:val="Podnadpis"/>
        <w:spacing w:before="0" w:after="160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 w:rsidRPr="00FE6B3E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 xml:space="preserve">Jeden rok </w:t>
      </w:r>
      <w:r w:rsidR="00201494" w:rsidRPr="00201494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>–</w:t>
      </w:r>
      <w:r w:rsidRPr="00FE6B3E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 xml:space="preserve"> jedno procento výkonnosti</w:t>
      </w:r>
      <w:r w:rsidR="001F119E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 xml:space="preserve"> dolů</w:t>
      </w:r>
    </w:p>
    <w:p w14:paraId="397923DF" w14:textId="0B9C1D5C" w:rsidR="00DD4C0C" w:rsidRDefault="00FE6B3E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</w:pP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Dle odborníků panely každým rokem ztrácejí až </w:t>
      </w:r>
      <w:r w:rsidR="0032709A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jedno procento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své původní výkonosti</w:t>
      </w:r>
      <w:r w:rsidR="003C2B6D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.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</w:t>
      </w:r>
      <w:r w:rsidR="003C2B6D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A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to </w:t>
      </w:r>
      <w:r w:rsidR="009A396D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kvůli</w:t>
      </w:r>
      <w:r w:rsidR="00075D7F"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stárnutí materiálů</w:t>
      </w:r>
      <w:r w:rsidR="00131E29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i </w:t>
      </w:r>
      <w:r w:rsidR="003C2B6D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dlouhodobým 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vlivem povětrnostních podmínek. Jde ale také o celkový technologický posun</w:t>
      </w:r>
      <w:r w:rsidR="003C2B6D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při vývoji jednotlivých komponent</w:t>
      </w:r>
      <w:r w:rsidR="00001DB7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, který je za poslední d</w:t>
      </w:r>
      <w:r w:rsidR="00F501C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vě dekády</w:t>
      </w:r>
      <w:r w:rsidR="00001DB7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značný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. </w:t>
      </w:r>
    </w:p>
    <w:p w14:paraId="196D524B" w14:textId="77777777" w:rsidR="00DD4C0C" w:rsidRDefault="00DD4C0C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</w:pPr>
    </w:p>
    <w:p w14:paraId="4BC4F025" w14:textId="2004D563" w:rsidR="00FE6B3E" w:rsidRPr="00FE6B3E" w:rsidRDefault="00FE6B3E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</w:pPr>
      <w:r w:rsidRPr="00817048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lastRenderedPageBreak/>
        <w:t>„</w:t>
      </w:r>
      <w:r w:rsidR="009A396D" w:rsidRPr="00131E29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>Zatímco kolem roku 2010 se využívaly solární panely s</w:t>
      </w:r>
      <w:r w:rsidR="00BC1D95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> </w:t>
      </w:r>
      <w:r w:rsidR="009A396D" w:rsidRPr="00131E29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>účinností</w:t>
      </w:r>
      <w:r w:rsidR="00BC1D95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 xml:space="preserve"> </w:t>
      </w:r>
      <w:r w:rsidR="006B2008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 xml:space="preserve">nanejvýš </w:t>
      </w:r>
      <w:r w:rsidR="009A396D" w:rsidRPr="00131E29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>kolem 1</w:t>
      </w:r>
      <w:r w:rsidR="006B2008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>4</w:t>
      </w:r>
      <w:r w:rsidR="009A396D" w:rsidRPr="00131E29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 xml:space="preserve"> </w:t>
      </w:r>
      <w:r w:rsidR="00E3113E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>procent</w:t>
      </w:r>
      <w:r w:rsidR="00E3113E" w:rsidRPr="00131E29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 xml:space="preserve">, </w:t>
      </w:r>
      <w:r w:rsidR="009A396D" w:rsidRPr="00131E29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 xml:space="preserve">dnešní panely dosahují účinnosti i 24 </w:t>
      </w:r>
      <w:r w:rsidR="00E3113E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>procent</w:t>
      </w:r>
      <w:r w:rsidR="001F119E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 xml:space="preserve">. Kombinace těchto dvou faktorů – pokroku a opotřebení technologií </w:t>
      </w:r>
      <w:r w:rsidR="00355D14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>–</w:t>
      </w:r>
      <w:r w:rsidR="003C2B6D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 xml:space="preserve"> </w:t>
      </w:r>
      <w:r w:rsidR="001F119E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>nás</w:t>
      </w:r>
      <w:r w:rsidR="00355D14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 xml:space="preserve"> </w:t>
      </w:r>
      <w:r w:rsidR="001F119E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>dostala do situace, kdy jeden nový panel je co do výkonu schopný nahradit až dva čtrnáctileté panely</w:t>
      </w:r>
      <w:r w:rsidRPr="00817048">
        <w:rPr>
          <w:rFonts w:ascii="Arial" w:eastAsiaTheme="minorHAnsi" w:hAnsi="Arial" w:cs="Arial"/>
          <w:b w:val="0"/>
          <w:bCs/>
          <w:i/>
          <w:iCs/>
          <w:color w:val="auto"/>
          <w:spacing w:val="0"/>
          <w:sz w:val="22"/>
          <w:lang w:eastAsia="cs-CZ"/>
        </w:rPr>
        <w:t>,“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vysvětluje Aleš Spáčil.</w:t>
      </w:r>
      <w:r w:rsidR="001F119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</w:t>
      </w:r>
    </w:p>
    <w:p w14:paraId="2755F4B2" w14:textId="77777777" w:rsidR="00817048" w:rsidRDefault="00817048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</w:pPr>
    </w:p>
    <w:p w14:paraId="26267A28" w14:textId="2DA47713" w:rsidR="00FE33F1" w:rsidRPr="001F7F25" w:rsidRDefault="00FE6B3E" w:rsidP="001F7F25">
      <w:pPr>
        <w:pStyle w:val="Podnadpis"/>
        <w:spacing w:before="0"/>
        <w:jc w:val="both"/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</w:pP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Repowering </w:t>
      </w:r>
      <w:r w:rsidR="00E26B38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vedle zlepšení výkonnosti a efektivity solárních systémů pro provozovatele znamená také 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významné prodloužení životnosti a snížení nákladů</w:t>
      </w:r>
      <w:r w:rsidR="00E2110A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na provoz a údržbu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. Návratnost investice do repoweringu se přitom u </w:t>
      </w:r>
      <w:r w:rsidR="00F92D4D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solární elektrárny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o velikosti </w:t>
      </w:r>
      <w:r w:rsidR="00D07B72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jeden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</w:t>
      </w:r>
      <w:r w:rsidR="00DA5F71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megawattpe</w:t>
      </w:r>
      <w:r w:rsidR="001F1FCA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a</w:t>
      </w:r>
      <w:r w:rsidR="00DA5F71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k</w:t>
      </w:r>
      <w:r w:rsidRPr="00FE6B3E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odhaduje na šest let, u větších instalací i pět let a méně. </w:t>
      </w:r>
    </w:p>
    <w:p w14:paraId="23DD16B9" w14:textId="77777777" w:rsidR="00B83EDB" w:rsidRDefault="00FE6B3E" w:rsidP="00B83EDB">
      <w:pPr>
        <w:pStyle w:val="Podnadpis"/>
        <w:spacing w:before="0" w:after="160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 w:rsidRPr="00FE6B3E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>Budou otáčivé panely přibývat?</w:t>
      </w:r>
    </w:p>
    <w:p w14:paraId="0ACC6A03" w14:textId="579E6563" w:rsidR="00687981" w:rsidRPr="00B83EDB" w:rsidRDefault="00FE6B3E" w:rsidP="00B83EDB">
      <w:pPr>
        <w:pStyle w:val="Podnadpis"/>
        <w:spacing w:before="0" w:after="160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Jedním z trendů </w:t>
      </w:r>
      <w:r w:rsidR="00B83E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modernizace </w:t>
      </w:r>
      <w:r w:rsidR="003F27C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solárních systémů </w:t>
      </w:r>
      <w:r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jsou takzvané otáčivé panely. Ty díky speciální pohyblivé konstrukci sledují pohyb slunce po obloze během dne, čímž zvyšují svou efektivitu ve výrobě energie oproti běžným statickým panelům až o </w:t>
      </w:r>
      <w:r w:rsidR="00F74FD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třetinu</w:t>
      </w:r>
      <w:r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  <w:r w:rsidR="0022196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933A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I</w:t>
      </w:r>
      <w:r w:rsidR="003074A3" w:rsidRPr="003074A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nstalovaná kapacita solární elektrárny </w:t>
      </w:r>
      <w:r w:rsidR="00933A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přitom zůstává </w:t>
      </w:r>
      <w:r w:rsidR="003074A3" w:rsidRPr="003074A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nezměněna, ale je maximalizován </w:t>
      </w:r>
      <w:r w:rsidR="00933A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její </w:t>
      </w:r>
      <w:r w:rsidR="003074A3" w:rsidRPr="003074A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výkon</w:t>
      </w:r>
      <w:r w:rsidR="00933A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  <w:r w:rsidR="003074A3" w:rsidRPr="003074A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C0508F" w:rsidRPr="00C050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Díky natáčení je navíc výroba elektřiny rovnoměrně rozložená v průběhu celého dne. Fotovoltaika najíždí na vysoký výkon brzy po východu slunce a udržuje si ho až do jeho západu.</w:t>
      </w:r>
    </w:p>
    <w:p w14:paraId="604B7886" w14:textId="2435ADF1" w:rsidR="00817048" w:rsidRPr="00121789" w:rsidRDefault="00933A59" w:rsidP="00121789">
      <w:pPr>
        <w:pStyle w:val="Podnadpis"/>
        <w:jc w:val="both"/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</w:pPr>
      <w:r w:rsidRPr="00A3268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3074A3" w:rsidRPr="00933A5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Zajímavým projektem byla výměna celé</w:t>
      </w:r>
      <w:r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ho původního </w:t>
      </w:r>
      <w:r w:rsidR="00B475D7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solárního </w:t>
      </w:r>
      <w:r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systému </w:t>
      </w:r>
      <w:r w:rsidR="00262A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u</w:t>
      </w:r>
      <w:r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 italské</w:t>
      </w:r>
      <w:r w:rsidR="00262A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ho</w:t>
      </w:r>
      <w:r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262A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městečka </w:t>
      </w:r>
      <w:r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Termoli, kde jsme </w:t>
      </w:r>
      <w:r w:rsidR="00262A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celkově u čtyř elektráren</w:t>
      </w:r>
      <w:r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opatřili </w:t>
      </w:r>
      <w:r w:rsidR="0027548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nové panely </w:t>
      </w:r>
      <w:r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trackerovým systémem.</w:t>
      </w:r>
      <w:r w:rsidR="008B1884" w:rsidRPr="00933A5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A1344C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Nyní</w:t>
      </w:r>
      <w:r w:rsidR="0027548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se</w:t>
      </w:r>
      <w:r w:rsidR="003074A3" w:rsidRPr="00933A5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262A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každá z</w:t>
      </w:r>
      <w:r w:rsidR="00B8498C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těchto</w:t>
      </w:r>
      <w:r w:rsidR="00262A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čtyř </w:t>
      </w:r>
      <w:r w:rsidR="003074A3" w:rsidRPr="00933A5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elektrár</w:t>
      </w:r>
      <w:r w:rsidR="00262A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en o výkonu jeden megawattpeak</w:t>
      </w:r>
      <w:r w:rsidR="0027548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B83EDB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otáčí za sluncem</w:t>
      </w:r>
      <w:r w:rsidR="0027548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A1344C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podobně </w:t>
      </w:r>
      <w:r w:rsidR="0027548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jako slunečnice</w:t>
      </w:r>
      <w:r w:rsidR="00B83EDB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,</w:t>
      </w:r>
      <w:r w:rsidR="003074A3" w:rsidRPr="00933A5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27548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čímž </w:t>
      </w:r>
      <w:r w:rsidR="00A1344C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ročně </w:t>
      </w:r>
      <w:r w:rsidR="003074A3" w:rsidRPr="00933A5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vyrob</w:t>
      </w:r>
      <w:r w:rsidR="0027548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í</w:t>
      </w:r>
      <w:r w:rsidR="003074A3" w:rsidRPr="00933A5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až </w:t>
      </w:r>
      <w:r w:rsidR="0027548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o 300 megawatthodin elektřiny více</w:t>
      </w:r>
      <w:r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,“</w:t>
      </w:r>
      <w:r w:rsidR="0027548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Pr="0012178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komentuje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Aleš </w:t>
      </w:r>
      <w:r w:rsidRPr="0012178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Spáčil.</w:t>
      </w:r>
      <w:r w:rsidR="003074A3" w:rsidRPr="00933A5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</w:p>
    <w:p w14:paraId="0C3041F1" w14:textId="5449D653" w:rsidR="00FE6B3E" w:rsidRDefault="00E26B38" w:rsidP="00817048">
      <w:pPr>
        <w:spacing w:after="16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bookmarkStart w:id="0" w:name="_Hlk159857295"/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V zahraničí </w:t>
      </w:r>
      <w:r w:rsidR="00F72855">
        <w:rPr>
          <w:rFonts w:ascii="Arial" w:hAnsi="Arial" w:cs="Arial"/>
          <w:b/>
          <w:bCs/>
          <w:sz w:val="22"/>
          <w:szCs w:val="22"/>
          <w:lang w:eastAsia="cs-CZ"/>
        </w:rPr>
        <w:t>už výhod repoweringu využívají</w:t>
      </w:r>
    </w:p>
    <w:bookmarkEnd w:id="0"/>
    <w:p w14:paraId="6529FF2F" w14:textId="6CB3BDA9" w:rsidR="00817048" w:rsidRDefault="00152CB0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Již nějakou dobu je tématem r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epowering </w:t>
      </w:r>
      <w:r w:rsidR="00722A2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i v dalších zemích EU.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870EB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Mezi klíčov</w:t>
      </w:r>
      <w:r w:rsidR="004C36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é</w:t>
      </w:r>
      <w:r w:rsidR="00870EB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trhy v tomto ohledu patří Německo, Itálie, Španělsko a Francie</w:t>
      </w:r>
      <w:r w:rsidR="004C4FF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. </w:t>
      </w:r>
      <w:r w:rsidR="00C9424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</w:t>
      </w:r>
      <w:r w:rsidR="00E76CB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 těchto zemích</w:t>
      </w:r>
      <w:r w:rsidR="00DA2D9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E76CB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byl</w:t>
      </w:r>
      <w:r w:rsidR="00DA2D9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C9424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totiž </w:t>
      </w:r>
      <w:r w:rsidR="00084DD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 rámci EU </w:t>
      </w:r>
      <w:r w:rsidR="00DA2D9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 době velkého solárního boomu kolem roku 2010 </w:t>
      </w:r>
      <w:r w:rsidR="00E76CB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instalován nej</w:t>
      </w:r>
      <w:r w:rsidR="00111F4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větší výkon</w:t>
      </w:r>
      <w:r w:rsidR="00DA2D9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</w:p>
    <w:p w14:paraId="5D3DD2D5" w14:textId="77777777" w:rsidR="00817048" w:rsidRDefault="00817048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</w:p>
    <w:p w14:paraId="5A595C36" w14:textId="3BDBCD01" w:rsidR="001F1FCA" w:rsidRDefault="00FE6B3E" w:rsidP="00262AD2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 Německu 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jdou </w:t>
      </w:r>
      <w:r w:rsidR="00E43C7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repoweringu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naproti</w:t>
      </w:r>
      <w:r w:rsidR="00327EE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i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legislativně</w:t>
      </w:r>
      <w:r w:rsidR="003C2B6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 V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 roce 2022 tam byl schválen zákon,</w:t>
      </w:r>
      <w:r w:rsidR="00722A2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který obnovu 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pozemních </w:t>
      </w:r>
      <w:r w:rsidR="00722A2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fotovoltaických systémů výrazně zjednoduš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il. </w:t>
      </w:r>
      <w:r w:rsidR="004C36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Z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ákonná úprava </w:t>
      </w:r>
      <w:r w:rsidR="004C36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týkající se obnovy 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střešní</w:t>
      </w:r>
      <w:r w:rsidR="004C36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ch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instalac</w:t>
      </w:r>
      <w:r w:rsidR="004C36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í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se tam v současné době schvaluje, začít platit by měla ještě v letošním roce.</w:t>
      </w:r>
    </w:p>
    <w:p w14:paraId="64CB54E6" w14:textId="77777777" w:rsidR="00C9424E" w:rsidRDefault="00C9424E" w:rsidP="00262AD2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</w:p>
    <w:p w14:paraId="272E60B2" w14:textId="777F97C4" w:rsidR="00262AD2" w:rsidRPr="00FE6B3E" w:rsidRDefault="001F1FCA" w:rsidP="00262AD2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Právě u našeho německého souseda nasbírali </w:t>
      </w:r>
      <w:r w:rsidR="009845F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čeští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Greenbuddies zkušenost s</w:t>
      </w:r>
      <w:r w:rsidR="00152C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 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nej</w:t>
      </w:r>
      <w:r w:rsidR="005A1876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rozsáhlejší</w:t>
      </w:r>
      <w:r w:rsidR="00152C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obnovou starší solární elektrárny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. Ve městě Eckolstadt měnili celkem 115 tisíc panelů za 60 tisíc nových. </w:t>
      </w:r>
      <w:r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152CB0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Repowering jsme řešili s</w:t>
      </w:r>
      <w:r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e všemi nezbytnými testy, ekologickou likvidací starých panelů, která musí být zajištěna, a uvedením do provozu,</w:t>
      </w:r>
      <w:r w:rsidRPr="00FE6B3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”</w:t>
      </w:r>
      <w:r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1272F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upřesňuje Aleš Spáčil.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</w:p>
    <w:p w14:paraId="2C7732EF" w14:textId="77777777" w:rsidR="005E4427" w:rsidRDefault="005E4427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</w:p>
    <w:p w14:paraId="44FDD21B" w14:textId="1EA3890A" w:rsidR="003353B5" w:rsidRDefault="00152CB0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Při modernizaci FVE v</w:t>
      </w:r>
      <w:r w:rsidR="007F2CC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 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Česk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u</w:t>
      </w:r>
      <w:r w:rsidR="007F2CC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</w:t>
      </w:r>
      <w:r w:rsidR="00114AD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</w:t>
      </w:r>
      <w:r w:rsidR="00E43C7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odobně jako v Německu, musí být původní jmenovitý výkon instalace zachován, aby její provozovatel nepřišel o stávající výkupní ceny elektřiny.</w:t>
      </w:r>
      <w:r w:rsidR="0022196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</w:p>
    <w:p w14:paraId="5615B218" w14:textId="77777777" w:rsidR="00210FF2" w:rsidRDefault="00210FF2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</w:pPr>
    </w:p>
    <w:p w14:paraId="24DC0344" w14:textId="58916504" w:rsidR="00CE626E" w:rsidRDefault="00A60DA4" w:rsidP="00817048">
      <w:pPr>
        <w:pStyle w:val="Podnadpis"/>
        <w:spacing w:before="0" w:after="0"/>
        <w:jc w:val="both"/>
        <w:rPr>
          <w:rFonts w:ascii="Arial" w:hAnsi="Arial" w:cs="Arial"/>
          <w:sz w:val="18"/>
          <w:szCs w:val="18"/>
        </w:rPr>
      </w:pPr>
      <w:r w:rsidRPr="009A396D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FE6B3E" w:rsidRPr="009A396D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Je jen otázkou času, kdy se </w:t>
      </w:r>
      <w:r w:rsidR="00503C36" w:rsidRPr="009A396D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tu </w:t>
      </w:r>
      <w:r w:rsidR="00FE6B3E" w:rsidRPr="009A396D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první velké </w:t>
      </w:r>
      <w:r w:rsidR="00F553B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repoweringové </w:t>
      </w:r>
      <w:r w:rsidR="00FE6B3E" w:rsidRPr="009A396D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projekty objeví. </w:t>
      </w:r>
      <w:r w:rsidR="001C074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Výhodou je nejen zvýšení výroby energie až o </w:t>
      </w:r>
      <w:r w:rsidR="00575CD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30</w:t>
      </w:r>
      <w:r w:rsidR="00575CD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E3113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procent</w:t>
      </w:r>
      <w:r w:rsidR="001C074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, ale právě ne</w:t>
      </w:r>
      <w:r w:rsidR="0022196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zabírání</w:t>
      </w:r>
      <w:r w:rsidR="001C074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další plochy</w:t>
      </w:r>
      <w:r w:rsidR="003074A3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a</w:t>
      </w:r>
      <w:r w:rsidR="001C074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ušetření nákladů na údržbu</w:t>
      </w:r>
      <w:r w:rsidR="00B83EDB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i na provoz</w:t>
      </w:r>
      <w:r w:rsidR="0022196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. </w:t>
      </w:r>
      <w:r w:rsidR="00E43C7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V</w:t>
      </w:r>
      <w:r w:rsidR="0022196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 případě potřeby je repowering možný realizovat </w:t>
      </w:r>
      <w:r w:rsidR="00E43C7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dokonce </w:t>
      </w:r>
      <w:r w:rsidR="0022196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při zachování omezeného provozu elektrárny,</w:t>
      </w:r>
      <w:r w:rsidR="003074A3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“</w:t>
      </w:r>
      <w:r w:rsidR="001C074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uzavírá</w:t>
      </w:r>
      <w:r w:rsidR="00F92D4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Aleš Spáčil</w:t>
      </w:r>
      <w:r w:rsidR="00FE6B3E" w:rsidRPr="00FE6B3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</w:p>
    <w:p w14:paraId="7D092038" w14:textId="57E7A672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lastRenderedPageBreak/>
        <w:t>O Green</w:t>
      </w:r>
      <w:r w:rsidR="00FD065D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4EDE4DA" w14:textId="50ABB8FC" w:rsidR="00F04FE2" w:rsidRDefault="00000000" w:rsidP="00F04FE2">
      <w:pPr>
        <w:jc w:val="both"/>
        <w:rPr>
          <w:rFonts w:ascii="Arial" w:hAnsi="Arial" w:cs="Arial"/>
          <w:szCs w:val="18"/>
        </w:rPr>
      </w:pPr>
      <w:hyperlink r:id="rId11" w:history="1">
        <w:r w:rsidR="00F04FE2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F04FE2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 Jsme česká společnost, naše projekty ale realizujeme už v 1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zemích Evropské unie. Za posledních 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let jsme dokončili </w:t>
      </w:r>
      <w:r w:rsidR="00B07ADB">
        <w:rPr>
          <w:rFonts w:ascii="Arial" w:hAnsi="Arial" w:cs="Arial"/>
          <w:szCs w:val="18"/>
        </w:rPr>
        <w:t>1 GWp</w:t>
      </w:r>
      <w:r w:rsidR="00F04FE2">
        <w:rPr>
          <w:rFonts w:ascii="Arial" w:hAnsi="Arial" w:cs="Arial"/>
          <w:szCs w:val="18"/>
        </w:rPr>
        <w:t xml:space="preserve"> fotovoltaických elektráren a nainstalovali více než 2 </w:t>
      </w:r>
      <w:r w:rsidR="00B07ADB">
        <w:rPr>
          <w:rFonts w:ascii="Arial" w:hAnsi="Arial" w:cs="Arial"/>
          <w:szCs w:val="18"/>
        </w:rPr>
        <w:t>5</w:t>
      </w:r>
      <w:r w:rsidR="00F04FE2">
        <w:rPr>
          <w:rFonts w:ascii="Arial" w:hAnsi="Arial" w:cs="Arial"/>
          <w:szCs w:val="18"/>
        </w:rPr>
        <w:t xml:space="preserve">00 000 fotovoltaických modulů. A čísla dále rostou. Naše postupy jsou zelené, jsme vašimi „Buddies“. </w:t>
      </w:r>
    </w:p>
    <w:p w14:paraId="3A531D79" w14:textId="58F80B1B" w:rsidR="00892A1E" w:rsidRPr="00C5424E" w:rsidRDefault="00123635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7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8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20FE399D" w14:textId="16E10B72" w:rsidR="00C5424E" w:rsidRPr="00BE43EF" w:rsidRDefault="00C5424E" w:rsidP="00954F21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</w:p>
    <w:sectPr w:rsidR="00C5424E" w:rsidRPr="00BE43EF" w:rsidSect="00562A1E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2B9B" w14:textId="77777777" w:rsidR="00AC19F4" w:rsidRDefault="00AC19F4" w:rsidP="00721090">
      <w:pPr>
        <w:spacing w:after="0"/>
      </w:pPr>
      <w:r>
        <w:separator/>
      </w:r>
    </w:p>
  </w:endnote>
  <w:endnote w:type="continuationSeparator" w:id="0">
    <w:p w14:paraId="1208F528" w14:textId="77777777" w:rsidR="00AC19F4" w:rsidRDefault="00AC19F4" w:rsidP="00721090">
      <w:pPr>
        <w:spacing w:after="0"/>
      </w:pPr>
      <w:r>
        <w:continuationSeparator/>
      </w:r>
    </w:p>
  </w:endnote>
  <w:endnote w:type="continuationNotice" w:id="1">
    <w:p w14:paraId="4AB1086E" w14:textId="77777777" w:rsidR="00AC19F4" w:rsidRDefault="00AC19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51F2A7A6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14F58667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69CD4" w14:textId="77777777" w:rsidR="00AC19F4" w:rsidRDefault="00AC19F4" w:rsidP="00721090">
      <w:pPr>
        <w:spacing w:after="0"/>
      </w:pPr>
      <w:r>
        <w:separator/>
      </w:r>
    </w:p>
  </w:footnote>
  <w:footnote w:type="continuationSeparator" w:id="0">
    <w:p w14:paraId="2A083FEA" w14:textId="77777777" w:rsidR="00AC19F4" w:rsidRDefault="00AC19F4" w:rsidP="00721090">
      <w:pPr>
        <w:spacing w:after="0"/>
      </w:pPr>
      <w:r>
        <w:continuationSeparator/>
      </w:r>
    </w:p>
  </w:footnote>
  <w:footnote w:type="continuationNotice" w:id="1">
    <w:p w14:paraId="2CE9B690" w14:textId="77777777" w:rsidR="00AC19F4" w:rsidRDefault="00AC19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DB7"/>
    <w:rsid w:val="00005120"/>
    <w:rsid w:val="00005EB1"/>
    <w:rsid w:val="000073F5"/>
    <w:rsid w:val="0001241C"/>
    <w:rsid w:val="00012EAE"/>
    <w:rsid w:val="00017313"/>
    <w:rsid w:val="00020C7E"/>
    <w:rsid w:val="00024299"/>
    <w:rsid w:val="0003352D"/>
    <w:rsid w:val="00042B7A"/>
    <w:rsid w:val="00043638"/>
    <w:rsid w:val="00056734"/>
    <w:rsid w:val="00056999"/>
    <w:rsid w:val="0006165B"/>
    <w:rsid w:val="00061A9C"/>
    <w:rsid w:val="00062A13"/>
    <w:rsid w:val="0006396B"/>
    <w:rsid w:val="0007365C"/>
    <w:rsid w:val="00074648"/>
    <w:rsid w:val="00074881"/>
    <w:rsid w:val="00074AF8"/>
    <w:rsid w:val="00075D7F"/>
    <w:rsid w:val="000807C1"/>
    <w:rsid w:val="00080C57"/>
    <w:rsid w:val="00084DDA"/>
    <w:rsid w:val="00087640"/>
    <w:rsid w:val="00090A6C"/>
    <w:rsid w:val="00091CC8"/>
    <w:rsid w:val="00092500"/>
    <w:rsid w:val="0009437D"/>
    <w:rsid w:val="00097D62"/>
    <w:rsid w:val="000A00E2"/>
    <w:rsid w:val="000A2EE7"/>
    <w:rsid w:val="000A7863"/>
    <w:rsid w:val="000B045B"/>
    <w:rsid w:val="000B1948"/>
    <w:rsid w:val="000B7027"/>
    <w:rsid w:val="000B7E37"/>
    <w:rsid w:val="000C0939"/>
    <w:rsid w:val="000C1AFA"/>
    <w:rsid w:val="000C4BF0"/>
    <w:rsid w:val="000C4FD7"/>
    <w:rsid w:val="000C60DA"/>
    <w:rsid w:val="000D3E4B"/>
    <w:rsid w:val="000E079A"/>
    <w:rsid w:val="000E0991"/>
    <w:rsid w:val="000E0A55"/>
    <w:rsid w:val="000E39FA"/>
    <w:rsid w:val="000E58FB"/>
    <w:rsid w:val="000E59C0"/>
    <w:rsid w:val="000F463A"/>
    <w:rsid w:val="000F7294"/>
    <w:rsid w:val="00103C8D"/>
    <w:rsid w:val="001040E3"/>
    <w:rsid w:val="00107F7B"/>
    <w:rsid w:val="00111D27"/>
    <w:rsid w:val="00111F42"/>
    <w:rsid w:val="00112FA9"/>
    <w:rsid w:val="00114AD3"/>
    <w:rsid w:val="00114FC7"/>
    <w:rsid w:val="00117909"/>
    <w:rsid w:val="00121789"/>
    <w:rsid w:val="00122295"/>
    <w:rsid w:val="00123166"/>
    <w:rsid w:val="00123635"/>
    <w:rsid w:val="00123BBA"/>
    <w:rsid w:val="00126378"/>
    <w:rsid w:val="00126AD5"/>
    <w:rsid w:val="001272FF"/>
    <w:rsid w:val="00127972"/>
    <w:rsid w:val="00131E29"/>
    <w:rsid w:val="00131E83"/>
    <w:rsid w:val="00133642"/>
    <w:rsid w:val="00133A02"/>
    <w:rsid w:val="001361A0"/>
    <w:rsid w:val="00140D0E"/>
    <w:rsid w:val="00141BB9"/>
    <w:rsid w:val="00146414"/>
    <w:rsid w:val="00146B02"/>
    <w:rsid w:val="00152CB0"/>
    <w:rsid w:val="00153AF2"/>
    <w:rsid w:val="001571D2"/>
    <w:rsid w:val="0015799F"/>
    <w:rsid w:val="001649BD"/>
    <w:rsid w:val="001650FE"/>
    <w:rsid w:val="00165624"/>
    <w:rsid w:val="001711CA"/>
    <w:rsid w:val="0017171A"/>
    <w:rsid w:val="0017308A"/>
    <w:rsid w:val="001748C6"/>
    <w:rsid w:val="00174D9A"/>
    <w:rsid w:val="00174DBA"/>
    <w:rsid w:val="001758A6"/>
    <w:rsid w:val="0017708F"/>
    <w:rsid w:val="00177DCD"/>
    <w:rsid w:val="0018034B"/>
    <w:rsid w:val="001857B1"/>
    <w:rsid w:val="00185860"/>
    <w:rsid w:val="001A1326"/>
    <w:rsid w:val="001A5BA2"/>
    <w:rsid w:val="001A6A3E"/>
    <w:rsid w:val="001A6AEE"/>
    <w:rsid w:val="001A7D14"/>
    <w:rsid w:val="001B2526"/>
    <w:rsid w:val="001B6BD5"/>
    <w:rsid w:val="001B702C"/>
    <w:rsid w:val="001C0741"/>
    <w:rsid w:val="001C4F38"/>
    <w:rsid w:val="001C720A"/>
    <w:rsid w:val="001D1635"/>
    <w:rsid w:val="001D262C"/>
    <w:rsid w:val="001D3D3E"/>
    <w:rsid w:val="001D3DF2"/>
    <w:rsid w:val="001D459E"/>
    <w:rsid w:val="001E1500"/>
    <w:rsid w:val="001E1E5D"/>
    <w:rsid w:val="001F119E"/>
    <w:rsid w:val="001F1C78"/>
    <w:rsid w:val="001F1FCA"/>
    <w:rsid w:val="001F200C"/>
    <w:rsid w:val="001F31E1"/>
    <w:rsid w:val="001F4159"/>
    <w:rsid w:val="001F57B8"/>
    <w:rsid w:val="001F7F25"/>
    <w:rsid w:val="0020077E"/>
    <w:rsid w:val="00201494"/>
    <w:rsid w:val="002026AF"/>
    <w:rsid w:val="002045AC"/>
    <w:rsid w:val="00205F13"/>
    <w:rsid w:val="00210FF2"/>
    <w:rsid w:val="002121CE"/>
    <w:rsid w:val="002128EE"/>
    <w:rsid w:val="00212A6F"/>
    <w:rsid w:val="00216E84"/>
    <w:rsid w:val="002213FF"/>
    <w:rsid w:val="00221962"/>
    <w:rsid w:val="002228D3"/>
    <w:rsid w:val="002256B9"/>
    <w:rsid w:val="00226613"/>
    <w:rsid w:val="00227E03"/>
    <w:rsid w:val="002320A6"/>
    <w:rsid w:val="002356BF"/>
    <w:rsid w:val="00236949"/>
    <w:rsid w:val="00237E2B"/>
    <w:rsid w:val="00242005"/>
    <w:rsid w:val="0024348D"/>
    <w:rsid w:val="00244010"/>
    <w:rsid w:val="00246B95"/>
    <w:rsid w:val="00250C9D"/>
    <w:rsid w:val="00253B3B"/>
    <w:rsid w:val="00256C12"/>
    <w:rsid w:val="00260F58"/>
    <w:rsid w:val="00262AD2"/>
    <w:rsid w:val="0026447E"/>
    <w:rsid w:val="002671A0"/>
    <w:rsid w:val="00275486"/>
    <w:rsid w:val="002762F6"/>
    <w:rsid w:val="00280DFD"/>
    <w:rsid w:val="002858B7"/>
    <w:rsid w:val="0028781D"/>
    <w:rsid w:val="002A1F38"/>
    <w:rsid w:val="002B044A"/>
    <w:rsid w:val="002B0F78"/>
    <w:rsid w:val="002B346F"/>
    <w:rsid w:val="002B5A13"/>
    <w:rsid w:val="002B6173"/>
    <w:rsid w:val="002B7D0E"/>
    <w:rsid w:val="002D3B73"/>
    <w:rsid w:val="002E546B"/>
    <w:rsid w:val="002F2E75"/>
    <w:rsid w:val="002F524C"/>
    <w:rsid w:val="002F5BEB"/>
    <w:rsid w:val="00301090"/>
    <w:rsid w:val="003037B2"/>
    <w:rsid w:val="00304C22"/>
    <w:rsid w:val="00305398"/>
    <w:rsid w:val="003074A3"/>
    <w:rsid w:val="003103CC"/>
    <w:rsid w:val="003129DA"/>
    <w:rsid w:val="003130F6"/>
    <w:rsid w:val="003148E4"/>
    <w:rsid w:val="0031660C"/>
    <w:rsid w:val="003173BE"/>
    <w:rsid w:val="00326B83"/>
    <w:rsid w:val="0032709A"/>
    <w:rsid w:val="00327362"/>
    <w:rsid w:val="00327EE2"/>
    <w:rsid w:val="00330B0C"/>
    <w:rsid w:val="003316A8"/>
    <w:rsid w:val="00331B7D"/>
    <w:rsid w:val="00333131"/>
    <w:rsid w:val="003353B5"/>
    <w:rsid w:val="00340078"/>
    <w:rsid w:val="00341378"/>
    <w:rsid w:val="0034275F"/>
    <w:rsid w:val="00342A18"/>
    <w:rsid w:val="00343C05"/>
    <w:rsid w:val="00345160"/>
    <w:rsid w:val="0035069E"/>
    <w:rsid w:val="00352D4F"/>
    <w:rsid w:val="00355D14"/>
    <w:rsid w:val="0035621D"/>
    <w:rsid w:val="00357EF9"/>
    <w:rsid w:val="0036273C"/>
    <w:rsid w:val="003628FA"/>
    <w:rsid w:val="00363C5C"/>
    <w:rsid w:val="00365CE0"/>
    <w:rsid w:val="0036733D"/>
    <w:rsid w:val="00371AE3"/>
    <w:rsid w:val="00371B97"/>
    <w:rsid w:val="003753B1"/>
    <w:rsid w:val="003776AF"/>
    <w:rsid w:val="0037794E"/>
    <w:rsid w:val="00380B57"/>
    <w:rsid w:val="00381D98"/>
    <w:rsid w:val="00381DEB"/>
    <w:rsid w:val="003822E3"/>
    <w:rsid w:val="00382EF1"/>
    <w:rsid w:val="00385E2A"/>
    <w:rsid w:val="003904E8"/>
    <w:rsid w:val="00397C65"/>
    <w:rsid w:val="003A3D46"/>
    <w:rsid w:val="003A433D"/>
    <w:rsid w:val="003A5C16"/>
    <w:rsid w:val="003A68B0"/>
    <w:rsid w:val="003B0A76"/>
    <w:rsid w:val="003B3D39"/>
    <w:rsid w:val="003B6032"/>
    <w:rsid w:val="003B7536"/>
    <w:rsid w:val="003C2B6D"/>
    <w:rsid w:val="003C3A50"/>
    <w:rsid w:val="003C44C1"/>
    <w:rsid w:val="003D2023"/>
    <w:rsid w:val="003D4889"/>
    <w:rsid w:val="003D4B8A"/>
    <w:rsid w:val="003E26C1"/>
    <w:rsid w:val="003E2B6B"/>
    <w:rsid w:val="003E66DE"/>
    <w:rsid w:val="003F27C9"/>
    <w:rsid w:val="003F46CC"/>
    <w:rsid w:val="003F486A"/>
    <w:rsid w:val="003F725A"/>
    <w:rsid w:val="00400708"/>
    <w:rsid w:val="00403B59"/>
    <w:rsid w:val="00403C2D"/>
    <w:rsid w:val="0040512F"/>
    <w:rsid w:val="00406DC5"/>
    <w:rsid w:val="0041066B"/>
    <w:rsid w:val="00411CF5"/>
    <w:rsid w:val="0041236E"/>
    <w:rsid w:val="00412B85"/>
    <w:rsid w:val="00413157"/>
    <w:rsid w:val="00413E55"/>
    <w:rsid w:val="00420021"/>
    <w:rsid w:val="00420462"/>
    <w:rsid w:val="00422501"/>
    <w:rsid w:val="00424364"/>
    <w:rsid w:val="00425E25"/>
    <w:rsid w:val="00426A18"/>
    <w:rsid w:val="0043712F"/>
    <w:rsid w:val="00437E53"/>
    <w:rsid w:val="00440D57"/>
    <w:rsid w:val="00441498"/>
    <w:rsid w:val="004436FB"/>
    <w:rsid w:val="004460BB"/>
    <w:rsid w:val="00446C61"/>
    <w:rsid w:val="00451AD9"/>
    <w:rsid w:val="004548EE"/>
    <w:rsid w:val="0046129A"/>
    <w:rsid w:val="00461622"/>
    <w:rsid w:val="004625FF"/>
    <w:rsid w:val="00462BEE"/>
    <w:rsid w:val="00463724"/>
    <w:rsid w:val="00463FC0"/>
    <w:rsid w:val="00464624"/>
    <w:rsid w:val="00465890"/>
    <w:rsid w:val="0046617B"/>
    <w:rsid w:val="00466E2D"/>
    <w:rsid w:val="00470F3C"/>
    <w:rsid w:val="00471044"/>
    <w:rsid w:val="00471BC5"/>
    <w:rsid w:val="00472EC2"/>
    <w:rsid w:val="00473494"/>
    <w:rsid w:val="00474553"/>
    <w:rsid w:val="0047785B"/>
    <w:rsid w:val="004806A7"/>
    <w:rsid w:val="00482E4F"/>
    <w:rsid w:val="00484476"/>
    <w:rsid w:val="00486332"/>
    <w:rsid w:val="004903A9"/>
    <w:rsid w:val="0049387D"/>
    <w:rsid w:val="00494B2E"/>
    <w:rsid w:val="00495DA1"/>
    <w:rsid w:val="004A0D32"/>
    <w:rsid w:val="004A4545"/>
    <w:rsid w:val="004A64D1"/>
    <w:rsid w:val="004B778E"/>
    <w:rsid w:val="004C1F31"/>
    <w:rsid w:val="004C2890"/>
    <w:rsid w:val="004C32E9"/>
    <w:rsid w:val="004C36B0"/>
    <w:rsid w:val="004C4FF3"/>
    <w:rsid w:val="004C52B8"/>
    <w:rsid w:val="004C5CE1"/>
    <w:rsid w:val="004C6A86"/>
    <w:rsid w:val="004D127A"/>
    <w:rsid w:val="004D21B7"/>
    <w:rsid w:val="004D4DAB"/>
    <w:rsid w:val="004D5A6F"/>
    <w:rsid w:val="004E1AEC"/>
    <w:rsid w:val="004E36E5"/>
    <w:rsid w:val="004E6638"/>
    <w:rsid w:val="004F2A65"/>
    <w:rsid w:val="004F443E"/>
    <w:rsid w:val="004F4F80"/>
    <w:rsid w:val="004F51B9"/>
    <w:rsid w:val="004F5A85"/>
    <w:rsid w:val="00501060"/>
    <w:rsid w:val="005011F6"/>
    <w:rsid w:val="00503C36"/>
    <w:rsid w:val="00515964"/>
    <w:rsid w:val="005212E8"/>
    <w:rsid w:val="005218B2"/>
    <w:rsid w:val="0052221C"/>
    <w:rsid w:val="005234A8"/>
    <w:rsid w:val="00524FB7"/>
    <w:rsid w:val="00530BA3"/>
    <w:rsid w:val="00530CFC"/>
    <w:rsid w:val="00533AA5"/>
    <w:rsid w:val="00536C57"/>
    <w:rsid w:val="00540454"/>
    <w:rsid w:val="00540681"/>
    <w:rsid w:val="005407C1"/>
    <w:rsid w:val="00541048"/>
    <w:rsid w:val="00541D13"/>
    <w:rsid w:val="0054281D"/>
    <w:rsid w:val="0055019E"/>
    <w:rsid w:val="00551FCE"/>
    <w:rsid w:val="00553AAE"/>
    <w:rsid w:val="0056054E"/>
    <w:rsid w:val="00562A1E"/>
    <w:rsid w:val="00563B54"/>
    <w:rsid w:val="00563EDB"/>
    <w:rsid w:val="00570985"/>
    <w:rsid w:val="00570EBC"/>
    <w:rsid w:val="005710CA"/>
    <w:rsid w:val="00571531"/>
    <w:rsid w:val="005728F1"/>
    <w:rsid w:val="005735A8"/>
    <w:rsid w:val="00575CD1"/>
    <w:rsid w:val="00582F9A"/>
    <w:rsid w:val="00584671"/>
    <w:rsid w:val="00585351"/>
    <w:rsid w:val="00597BE3"/>
    <w:rsid w:val="005A1876"/>
    <w:rsid w:val="005A19DD"/>
    <w:rsid w:val="005A1F36"/>
    <w:rsid w:val="005A3B4A"/>
    <w:rsid w:val="005A50E9"/>
    <w:rsid w:val="005A7982"/>
    <w:rsid w:val="005B4729"/>
    <w:rsid w:val="005B4811"/>
    <w:rsid w:val="005B4C93"/>
    <w:rsid w:val="005B4E4D"/>
    <w:rsid w:val="005B5611"/>
    <w:rsid w:val="005B70B0"/>
    <w:rsid w:val="005C061A"/>
    <w:rsid w:val="005C1285"/>
    <w:rsid w:val="005C1718"/>
    <w:rsid w:val="005C2447"/>
    <w:rsid w:val="005C2F37"/>
    <w:rsid w:val="005C453C"/>
    <w:rsid w:val="005C5AE8"/>
    <w:rsid w:val="005C7AD6"/>
    <w:rsid w:val="005D0442"/>
    <w:rsid w:val="005D0E44"/>
    <w:rsid w:val="005D7852"/>
    <w:rsid w:val="005E1748"/>
    <w:rsid w:val="005E1E44"/>
    <w:rsid w:val="005E2E90"/>
    <w:rsid w:val="005E4427"/>
    <w:rsid w:val="005F1290"/>
    <w:rsid w:val="005F1E20"/>
    <w:rsid w:val="005F4279"/>
    <w:rsid w:val="005F5631"/>
    <w:rsid w:val="005F64EE"/>
    <w:rsid w:val="00605664"/>
    <w:rsid w:val="00610EDB"/>
    <w:rsid w:val="0061184F"/>
    <w:rsid w:val="00614222"/>
    <w:rsid w:val="00615A7D"/>
    <w:rsid w:val="00615D87"/>
    <w:rsid w:val="00616D99"/>
    <w:rsid w:val="00617230"/>
    <w:rsid w:val="00617A8F"/>
    <w:rsid w:val="00621A5B"/>
    <w:rsid w:val="00621C25"/>
    <w:rsid w:val="00625A7D"/>
    <w:rsid w:val="00631024"/>
    <w:rsid w:val="006335C3"/>
    <w:rsid w:val="00635162"/>
    <w:rsid w:val="00635BCB"/>
    <w:rsid w:val="00642A4C"/>
    <w:rsid w:val="0064469C"/>
    <w:rsid w:val="00651AA3"/>
    <w:rsid w:val="00651FA7"/>
    <w:rsid w:val="00654F9E"/>
    <w:rsid w:val="00663077"/>
    <w:rsid w:val="00665642"/>
    <w:rsid w:val="006676BA"/>
    <w:rsid w:val="00670AB5"/>
    <w:rsid w:val="00671451"/>
    <w:rsid w:val="00676B0C"/>
    <w:rsid w:val="00682397"/>
    <w:rsid w:val="006846F9"/>
    <w:rsid w:val="00687981"/>
    <w:rsid w:val="00687A25"/>
    <w:rsid w:val="00687E5D"/>
    <w:rsid w:val="006A0974"/>
    <w:rsid w:val="006A294B"/>
    <w:rsid w:val="006A7E27"/>
    <w:rsid w:val="006B0AB4"/>
    <w:rsid w:val="006B1F33"/>
    <w:rsid w:val="006B2008"/>
    <w:rsid w:val="006B222B"/>
    <w:rsid w:val="006B311F"/>
    <w:rsid w:val="006B3D5E"/>
    <w:rsid w:val="006B4AD2"/>
    <w:rsid w:val="006B7CCB"/>
    <w:rsid w:val="006C28D0"/>
    <w:rsid w:val="006C2905"/>
    <w:rsid w:val="006D080A"/>
    <w:rsid w:val="006E0B9F"/>
    <w:rsid w:val="006E1346"/>
    <w:rsid w:val="006E266F"/>
    <w:rsid w:val="006E64DE"/>
    <w:rsid w:val="006F3B4F"/>
    <w:rsid w:val="006F466C"/>
    <w:rsid w:val="006F47B1"/>
    <w:rsid w:val="006F6A35"/>
    <w:rsid w:val="006F7F77"/>
    <w:rsid w:val="00705258"/>
    <w:rsid w:val="00705C50"/>
    <w:rsid w:val="00716AE2"/>
    <w:rsid w:val="00721090"/>
    <w:rsid w:val="00722A2F"/>
    <w:rsid w:val="00724185"/>
    <w:rsid w:val="007250AC"/>
    <w:rsid w:val="00725957"/>
    <w:rsid w:val="00725F95"/>
    <w:rsid w:val="007265F2"/>
    <w:rsid w:val="007324D6"/>
    <w:rsid w:val="00733BAA"/>
    <w:rsid w:val="0073474A"/>
    <w:rsid w:val="00735001"/>
    <w:rsid w:val="00741A9D"/>
    <w:rsid w:val="00742F38"/>
    <w:rsid w:val="00745811"/>
    <w:rsid w:val="007544FB"/>
    <w:rsid w:val="0075681F"/>
    <w:rsid w:val="0076066D"/>
    <w:rsid w:val="00760B60"/>
    <w:rsid w:val="007620DC"/>
    <w:rsid w:val="00766DA7"/>
    <w:rsid w:val="00766EA6"/>
    <w:rsid w:val="007702AD"/>
    <w:rsid w:val="0077177A"/>
    <w:rsid w:val="007737AD"/>
    <w:rsid w:val="0077554E"/>
    <w:rsid w:val="00775C81"/>
    <w:rsid w:val="007761C9"/>
    <w:rsid w:val="00777E96"/>
    <w:rsid w:val="0078466F"/>
    <w:rsid w:val="00786814"/>
    <w:rsid w:val="00791116"/>
    <w:rsid w:val="00793349"/>
    <w:rsid w:val="00794E77"/>
    <w:rsid w:val="0079552D"/>
    <w:rsid w:val="007A0C5F"/>
    <w:rsid w:val="007A4019"/>
    <w:rsid w:val="007A754C"/>
    <w:rsid w:val="007B1A8E"/>
    <w:rsid w:val="007B235B"/>
    <w:rsid w:val="007B50E1"/>
    <w:rsid w:val="007B6328"/>
    <w:rsid w:val="007B6632"/>
    <w:rsid w:val="007B6B24"/>
    <w:rsid w:val="007B73FC"/>
    <w:rsid w:val="007C0E47"/>
    <w:rsid w:val="007C1106"/>
    <w:rsid w:val="007C623F"/>
    <w:rsid w:val="007D19E8"/>
    <w:rsid w:val="007D3779"/>
    <w:rsid w:val="007D3CBA"/>
    <w:rsid w:val="007D747A"/>
    <w:rsid w:val="007E34F8"/>
    <w:rsid w:val="007E66C4"/>
    <w:rsid w:val="007F1571"/>
    <w:rsid w:val="007F2CCC"/>
    <w:rsid w:val="007F70C8"/>
    <w:rsid w:val="00800CBE"/>
    <w:rsid w:val="008035C5"/>
    <w:rsid w:val="0080576A"/>
    <w:rsid w:val="008071C7"/>
    <w:rsid w:val="0081184D"/>
    <w:rsid w:val="00816F18"/>
    <w:rsid w:val="00817048"/>
    <w:rsid w:val="00817944"/>
    <w:rsid w:val="008239B4"/>
    <w:rsid w:val="008244DC"/>
    <w:rsid w:val="00825793"/>
    <w:rsid w:val="00826B1E"/>
    <w:rsid w:val="00826E8A"/>
    <w:rsid w:val="0083005F"/>
    <w:rsid w:val="00830082"/>
    <w:rsid w:val="008329FF"/>
    <w:rsid w:val="00835A89"/>
    <w:rsid w:val="0084096E"/>
    <w:rsid w:val="008466E6"/>
    <w:rsid w:val="008477E2"/>
    <w:rsid w:val="00852DB5"/>
    <w:rsid w:val="00855130"/>
    <w:rsid w:val="00857271"/>
    <w:rsid w:val="00861A8E"/>
    <w:rsid w:val="00864E16"/>
    <w:rsid w:val="0086609A"/>
    <w:rsid w:val="008672E9"/>
    <w:rsid w:val="0087019B"/>
    <w:rsid w:val="00870EB9"/>
    <w:rsid w:val="00871791"/>
    <w:rsid w:val="008749F3"/>
    <w:rsid w:val="00876556"/>
    <w:rsid w:val="0088045C"/>
    <w:rsid w:val="008814C2"/>
    <w:rsid w:val="00881536"/>
    <w:rsid w:val="00881F6F"/>
    <w:rsid w:val="0088366A"/>
    <w:rsid w:val="00885A76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4F47"/>
    <w:rsid w:val="008A5DD1"/>
    <w:rsid w:val="008A7B4B"/>
    <w:rsid w:val="008A7F49"/>
    <w:rsid w:val="008B165F"/>
    <w:rsid w:val="008B1884"/>
    <w:rsid w:val="008B5927"/>
    <w:rsid w:val="008C0D5F"/>
    <w:rsid w:val="008C19A3"/>
    <w:rsid w:val="008C4CBC"/>
    <w:rsid w:val="008D001A"/>
    <w:rsid w:val="008D11F6"/>
    <w:rsid w:val="008D3572"/>
    <w:rsid w:val="008D4778"/>
    <w:rsid w:val="008D487B"/>
    <w:rsid w:val="008D6CDF"/>
    <w:rsid w:val="008E4096"/>
    <w:rsid w:val="008E62BB"/>
    <w:rsid w:val="008F0529"/>
    <w:rsid w:val="008F6D4B"/>
    <w:rsid w:val="008F7BBD"/>
    <w:rsid w:val="009010A3"/>
    <w:rsid w:val="00901B1C"/>
    <w:rsid w:val="00902E29"/>
    <w:rsid w:val="00907FF8"/>
    <w:rsid w:val="00910F54"/>
    <w:rsid w:val="00911858"/>
    <w:rsid w:val="00915975"/>
    <w:rsid w:val="0092009B"/>
    <w:rsid w:val="00925A38"/>
    <w:rsid w:val="00926549"/>
    <w:rsid w:val="00931506"/>
    <w:rsid w:val="0093207E"/>
    <w:rsid w:val="0093220D"/>
    <w:rsid w:val="00933A59"/>
    <w:rsid w:val="00940B4F"/>
    <w:rsid w:val="009439B6"/>
    <w:rsid w:val="00945140"/>
    <w:rsid w:val="00945FB9"/>
    <w:rsid w:val="009461E5"/>
    <w:rsid w:val="009463A3"/>
    <w:rsid w:val="009474AC"/>
    <w:rsid w:val="00954F21"/>
    <w:rsid w:val="00956007"/>
    <w:rsid w:val="00956E90"/>
    <w:rsid w:val="009603CD"/>
    <w:rsid w:val="00963591"/>
    <w:rsid w:val="00964E50"/>
    <w:rsid w:val="009655D5"/>
    <w:rsid w:val="00970F5B"/>
    <w:rsid w:val="00972085"/>
    <w:rsid w:val="00977FB3"/>
    <w:rsid w:val="00983A02"/>
    <w:rsid w:val="009845FF"/>
    <w:rsid w:val="009878BA"/>
    <w:rsid w:val="009904A9"/>
    <w:rsid w:val="00991FC2"/>
    <w:rsid w:val="009948EE"/>
    <w:rsid w:val="00995616"/>
    <w:rsid w:val="00997E46"/>
    <w:rsid w:val="009A0B98"/>
    <w:rsid w:val="009A396D"/>
    <w:rsid w:val="009A4B4B"/>
    <w:rsid w:val="009A754C"/>
    <w:rsid w:val="009B06EB"/>
    <w:rsid w:val="009B4062"/>
    <w:rsid w:val="009B5746"/>
    <w:rsid w:val="009B6EF0"/>
    <w:rsid w:val="009C066C"/>
    <w:rsid w:val="009C40B7"/>
    <w:rsid w:val="009C7350"/>
    <w:rsid w:val="009E59A7"/>
    <w:rsid w:val="009E5B1B"/>
    <w:rsid w:val="009F2579"/>
    <w:rsid w:val="009F2CD1"/>
    <w:rsid w:val="009F60D5"/>
    <w:rsid w:val="00A125C3"/>
    <w:rsid w:val="00A1344C"/>
    <w:rsid w:val="00A13E4C"/>
    <w:rsid w:val="00A17F38"/>
    <w:rsid w:val="00A201F1"/>
    <w:rsid w:val="00A26FDB"/>
    <w:rsid w:val="00A3111C"/>
    <w:rsid w:val="00A31FF0"/>
    <w:rsid w:val="00A32681"/>
    <w:rsid w:val="00A3450A"/>
    <w:rsid w:val="00A3546D"/>
    <w:rsid w:val="00A376CB"/>
    <w:rsid w:val="00A37F30"/>
    <w:rsid w:val="00A43B71"/>
    <w:rsid w:val="00A46E49"/>
    <w:rsid w:val="00A500DF"/>
    <w:rsid w:val="00A501F6"/>
    <w:rsid w:val="00A60C25"/>
    <w:rsid w:val="00A60DA4"/>
    <w:rsid w:val="00A63B7A"/>
    <w:rsid w:val="00A710C1"/>
    <w:rsid w:val="00A743A6"/>
    <w:rsid w:val="00A74FB6"/>
    <w:rsid w:val="00A77390"/>
    <w:rsid w:val="00A841D3"/>
    <w:rsid w:val="00A842BB"/>
    <w:rsid w:val="00A85547"/>
    <w:rsid w:val="00A85C18"/>
    <w:rsid w:val="00A955D4"/>
    <w:rsid w:val="00A95FF6"/>
    <w:rsid w:val="00A9679A"/>
    <w:rsid w:val="00AA0C73"/>
    <w:rsid w:val="00AA1BB5"/>
    <w:rsid w:val="00AA39A5"/>
    <w:rsid w:val="00AB440B"/>
    <w:rsid w:val="00AC11EB"/>
    <w:rsid w:val="00AC14AD"/>
    <w:rsid w:val="00AC19F4"/>
    <w:rsid w:val="00AC32AA"/>
    <w:rsid w:val="00AC4835"/>
    <w:rsid w:val="00AD11B6"/>
    <w:rsid w:val="00AD224D"/>
    <w:rsid w:val="00AD2357"/>
    <w:rsid w:val="00AD4560"/>
    <w:rsid w:val="00AD7C26"/>
    <w:rsid w:val="00AE1E9B"/>
    <w:rsid w:val="00AF21D9"/>
    <w:rsid w:val="00AF37EE"/>
    <w:rsid w:val="00AF45CC"/>
    <w:rsid w:val="00AF51D9"/>
    <w:rsid w:val="00AF5205"/>
    <w:rsid w:val="00AF7311"/>
    <w:rsid w:val="00B0007F"/>
    <w:rsid w:val="00B03CF3"/>
    <w:rsid w:val="00B047B9"/>
    <w:rsid w:val="00B0692B"/>
    <w:rsid w:val="00B07ADB"/>
    <w:rsid w:val="00B13329"/>
    <w:rsid w:val="00B17433"/>
    <w:rsid w:val="00B17F5C"/>
    <w:rsid w:val="00B20341"/>
    <w:rsid w:val="00B278BF"/>
    <w:rsid w:val="00B27C15"/>
    <w:rsid w:val="00B322E0"/>
    <w:rsid w:val="00B34F8F"/>
    <w:rsid w:val="00B3553B"/>
    <w:rsid w:val="00B36F0B"/>
    <w:rsid w:val="00B40CD4"/>
    <w:rsid w:val="00B423DD"/>
    <w:rsid w:val="00B44464"/>
    <w:rsid w:val="00B449DE"/>
    <w:rsid w:val="00B45FFB"/>
    <w:rsid w:val="00B46A45"/>
    <w:rsid w:val="00B475D7"/>
    <w:rsid w:val="00B47BD1"/>
    <w:rsid w:val="00B51AB3"/>
    <w:rsid w:val="00B53600"/>
    <w:rsid w:val="00B565B1"/>
    <w:rsid w:val="00B56E45"/>
    <w:rsid w:val="00B63DA2"/>
    <w:rsid w:val="00B650A6"/>
    <w:rsid w:val="00B72CDD"/>
    <w:rsid w:val="00B737B4"/>
    <w:rsid w:val="00B75BB7"/>
    <w:rsid w:val="00B769DF"/>
    <w:rsid w:val="00B83EDB"/>
    <w:rsid w:val="00B8475B"/>
    <w:rsid w:val="00B8498C"/>
    <w:rsid w:val="00B86F0F"/>
    <w:rsid w:val="00B87F66"/>
    <w:rsid w:val="00B951EC"/>
    <w:rsid w:val="00B96C2E"/>
    <w:rsid w:val="00BA1B02"/>
    <w:rsid w:val="00BA28F9"/>
    <w:rsid w:val="00BA2E18"/>
    <w:rsid w:val="00BA4085"/>
    <w:rsid w:val="00BA4762"/>
    <w:rsid w:val="00BA6057"/>
    <w:rsid w:val="00BA67C8"/>
    <w:rsid w:val="00BA73A0"/>
    <w:rsid w:val="00BB0789"/>
    <w:rsid w:val="00BB15C2"/>
    <w:rsid w:val="00BB4E0F"/>
    <w:rsid w:val="00BC1D95"/>
    <w:rsid w:val="00BC3515"/>
    <w:rsid w:val="00BC44BD"/>
    <w:rsid w:val="00BC4DA7"/>
    <w:rsid w:val="00BD2135"/>
    <w:rsid w:val="00BD248B"/>
    <w:rsid w:val="00BD408E"/>
    <w:rsid w:val="00BD5410"/>
    <w:rsid w:val="00BE091B"/>
    <w:rsid w:val="00BE16BC"/>
    <w:rsid w:val="00BE43EF"/>
    <w:rsid w:val="00BE5B96"/>
    <w:rsid w:val="00BF0147"/>
    <w:rsid w:val="00BF3A80"/>
    <w:rsid w:val="00BF4E7E"/>
    <w:rsid w:val="00BF7880"/>
    <w:rsid w:val="00C00566"/>
    <w:rsid w:val="00C01600"/>
    <w:rsid w:val="00C03270"/>
    <w:rsid w:val="00C047EE"/>
    <w:rsid w:val="00C04E95"/>
    <w:rsid w:val="00C0508F"/>
    <w:rsid w:val="00C24153"/>
    <w:rsid w:val="00C26FED"/>
    <w:rsid w:val="00C316DA"/>
    <w:rsid w:val="00C31DFA"/>
    <w:rsid w:val="00C321B7"/>
    <w:rsid w:val="00C357C8"/>
    <w:rsid w:val="00C41624"/>
    <w:rsid w:val="00C441C4"/>
    <w:rsid w:val="00C524EA"/>
    <w:rsid w:val="00C53F76"/>
    <w:rsid w:val="00C5424E"/>
    <w:rsid w:val="00C5583B"/>
    <w:rsid w:val="00C56CC6"/>
    <w:rsid w:val="00C60A3D"/>
    <w:rsid w:val="00C617A2"/>
    <w:rsid w:val="00C619E6"/>
    <w:rsid w:val="00C64000"/>
    <w:rsid w:val="00C65BF9"/>
    <w:rsid w:val="00C74764"/>
    <w:rsid w:val="00C74A96"/>
    <w:rsid w:val="00C772E6"/>
    <w:rsid w:val="00C77D35"/>
    <w:rsid w:val="00C81BF4"/>
    <w:rsid w:val="00C91477"/>
    <w:rsid w:val="00C921FD"/>
    <w:rsid w:val="00C932C6"/>
    <w:rsid w:val="00C9424E"/>
    <w:rsid w:val="00C9435D"/>
    <w:rsid w:val="00C95859"/>
    <w:rsid w:val="00C962DE"/>
    <w:rsid w:val="00CA1B34"/>
    <w:rsid w:val="00CA1F27"/>
    <w:rsid w:val="00CB1457"/>
    <w:rsid w:val="00CB18C5"/>
    <w:rsid w:val="00CB3D5B"/>
    <w:rsid w:val="00CB435F"/>
    <w:rsid w:val="00CB4B7D"/>
    <w:rsid w:val="00CB5DE6"/>
    <w:rsid w:val="00CC2322"/>
    <w:rsid w:val="00CC3280"/>
    <w:rsid w:val="00CD3448"/>
    <w:rsid w:val="00CD48E5"/>
    <w:rsid w:val="00CD76A1"/>
    <w:rsid w:val="00CE5317"/>
    <w:rsid w:val="00CE626E"/>
    <w:rsid w:val="00CF0AF2"/>
    <w:rsid w:val="00CF2749"/>
    <w:rsid w:val="00D01C69"/>
    <w:rsid w:val="00D0265E"/>
    <w:rsid w:val="00D03248"/>
    <w:rsid w:val="00D05185"/>
    <w:rsid w:val="00D0547F"/>
    <w:rsid w:val="00D060D5"/>
    <w:rsid w:val="00D0733E"/>
    <w:rsid w:val="00D07B72"/>
    <w:rsid w:val="00D07FB1"/>
    <w:rsid w:val="00D11BE5"/>
    <w:rsid w:val="00D13813"/>
    <w:rsid w:val="00D17A41"/>
    <w:rsid w:val="00D22E42"/>
    <w:rsid w:val="00D22E5C"/>
    <w:rsid w:val="00D230ED"/>
    <w:rsid w:val="00D234EE"/>
    <w:rsid w:val="00D24A15"/>
    <w:rsid w:val="00D24A50"/>
    <w:rsid w:val="00D24FC1"/>
    <w:rsid w:val="00D25383"/>
    <w:rsid w:val="00D408C4"/>
    <w:rsid w:val="00D477D3"/>
    <w:rsid w:val="00D54CB3"/>
    <w:rsid w:val="00D556AA"/>
    <w:rsid w:val="00D55E68"/>
    <w:rsid w:val="00D5655C"/>
    <w:rsid w:val="00D57054"/>
    <w:rsid w:val="00D57A99"/>
    <w:rsid w:val="00D60FE5"/>
    <w:rsid w:val="00D622F2"/>
    <w:rsid w:val="00D6498B"/>
    <w:rsid w:val="00D70368"/>
    <w:rsid w:val="00D75F7D"/>
    <w:rsid w:val="00D823DC"/>
    <w:rsid w:val="00D83521"/>
    <w:rsid w:val="00D83981"/>
    <w:rsid w:val="00D84870"/>
    <w:rsid w:val="00D86368"/>
    <w:rsid w:val="00D876F7"/>
    <w:rsid w:val="00D87A10"/>
    <w:rsid w:val="00D90A21"/>
    <w:rsid w:val="00DA2D9F"/>
    <w:rsid w:val="00DA2EAE"/>
    <w:rsid w:val="00DA316B"/>
    <w:rsid w:val="00DA5F71"/>
    <w:rsid w:val="00DB1FB1"/>
    <w:rsid w:val="00DB221C"/>
    <w:rsid w:val="00DB3872"/>
    <w:rsid w:val="00DB6BB9"/>
    <w:rsid w:val="00DC3055"/>
    <w:rsid w:val="00DC45B8"/>
    <w:rsid w:val="00DC6302"/>
    <w:rsid w:val="00DC7D7F"/>
    <w:rsid w:val="00DD17B8"/>
    <w:rsid w:val="00DD4C0C"/>
    <w:rsid w:val="00DE1B4F"/>
    <w:rsid w:val="00DE332C"/>
    <w:rsid w:val="00DE5DF1"/>
    <w:rsid w:val="00DE643F"/>
    <w:rsid w:val="00DE6E26"/>
    <w:rsid w:val="00DE724D"/>
    <w:rsid w:val="00DF0CB4"/>
    <w:rsid w:val="00DF4001"/>
    <w:rsid w:val="00DF6C09"/>
    <w:rsid w:val="00E01A17"/>
    <w:rsid w:val="00E02C9D"/>
    <w:rsid w:val="00E02FF4"/>
    <w:rsid w:val="00E034B6"/>
    <w:rsid w:val="00E04082"/>
    <w:rsid w:val="00E07FE1"/>
    <w:rsid w:val="00E11199"/>
    <w:rsid w:val="00E116E8"/>
    <w:rsid w:val="00E12BA2"/>
    <w:rsid w:val="00E147FF"/>
    <w:rsid w:val="00E1502B"/>
    <w:rsid w:val="00E2110A"/>
    <w:rsid w:val="00E21593"/>
    <w:rsid w:val="00E24C2B"/>
    <w:rsid w:val="00E26B38"/>
    <w:rsid w:val="00E27676"/>
    <w:rsid w:val="00E3113E"/>
    <w:rsid w:val="00E319F2"/>
    <w:rsid w:val="00E35626"/>
    <w:rsid w:val="00E371A3"/>
    <w:rsid w:val="00E41806"/>
    <w:rsid w:val="00E43C75"/>
    <w:rsid w:val="00E43D42"/>
    <w:rsid w:val="00E448F4"/>
    <w:rsid w:val="00E44D24"/>
    <w:rsid w:val="00E45112"/>
    <w:rsid w:val="00E506E7"/>
    <w:rsid w:val="00E55B13"/>
    <w:rsid w:val="00E5714E"/>
    <w:rsid w:val="00E70A0F"/>
    <w:rsid w:val="00E757DB"/>
    <w:rsid w:val="00E76CBE"/>
    <w:rsid w:val="00E80775"/>
    <w:rsid w:val="00E82527"/>
    <w:rsid w:val="00E8585E"/>
    <w:rsid w:val="00E90889"/>
    <w:rsid w:val="00EA051E"/>
    <w:rsid w:val="00EB0B47"/>
    <w:rsid w:val="00EB1F41"/>
    <w:rsid w:val="00EB692B"/>
    <w:rsid w:val="00EC0C78"/>
    <w:rsid w:val="00EC4BF6"/>
    <w:rsid w:val="00EC7C4A"/>
    <w:rsid w:val="00ED1FAF"/>
    <w:rsid w:val="00ED3892"/>
    <w:rsid w:val="00ED6988"/>
    <w:rsid w:val="00EE18C7"/>
    <w:rsid w:val="00EE5709"/>
    <w:rsid w:val="00EE599C"/>
    <w:rsid w:val="00EF04EC"/>
    <w:rsid w:val="00EF6FCC"/>
    <w:rsid w:val="00EF73DE"/>
    <w:rsid w:val="00EF75F2"/>
    <w:rsid w:val="00F00F64"/>
    <w:rsid w:val="00F028AD"/>
    <w:rsid w:val="00F02ED7"/>
    <w:rsid w:val="00F037EB"/>
    <w:rsid w:val="00F04FE2"/>
    <w:rsid w:val="00F0533E"/>
    <w:rsid w:val="00F05F06"/>
    <w:rsid w:val="00F1002C"/>
    <w:rsid w:val="00F1006E"/>
    <w:rsid w:val="00F13CFE"/>
    <w:rsid w:val="00F14336"/>
    <w:rsid w:val="00F14EA6"/>
    <w:rsid w:val="00F1531F"/>
    <w:rsid w:val="00F2124B"/>
    <w:rsid w:val="00F21E5C"/>
    <w:rsid w:val="00F23314"/>
    <w:rsid w:val="00F253E3"/>
    <w:rsid w:val="00F26CCC"/>
    <w:rsid w:val="00F32CE3"/>
    <w:rsid w:val="00F33799"/>
    <w:rsid w:val="00F40C67"/>
    <w:rsid w:val="00F501CE"/>
    <w:rsid w:val="00F50550"/>
    <w:rsid w:val="00F50F72"/>
    <w:rsid w:val="00F546A4"/>
    <w:rsid w:val="00F553BE"/>
    <w:rsid w:val="00F5714F"/>
    <w:rsid w:val="00F60D82"/>
    <w:rsid w:val="00F67D05"/>
    <w:rsid w:val="00F72855"/>
    <w:rsid w:val="00F743EE"/>
    <w:rsid w:val="00F74FD9"/>
    <w:rsid w:val="00F7687B"/>
    <w:rsid w:val="00F77912"/>
    <w:rsid w:val="00F77CB1"/>
    <w:rsid w:val="00F8170A"/>
    <w:rsid w:val="00F823EC"/>
    <w:rsid w:val="00F82438"/>
    <w:rsid w:val="00F82EA1"/>
    <w:rsid w:val="00F90276"/>
    <w:rsid w:val="00F91964"/>
    <w:rsid w:val="00F91A1A"/>
    <w:rsid w:val="00F91E25"/>
    <w:rsid w:val="00F92D4D"/>
    <w:rsid w:val="00F95110"/>
    <w:rsid w:val="00FB0A72"/>
    <w:rsid w:val="00FB2FBA"/>
    <w:rsid w:val="00FB5D56"/>
    <w:rsid w:val="00FB6D81"/>
    <w:rsid w:val="00FB6FE6"/>
    <w:rsid w:val="00FC15C6"/>
    <w:rsid w:val="00FC4B03"/>
    <w:rsid w:val="00FC5BBC"/>
    <w:rsid w:val="00FC6BCC"/>
    <w:rsid w:val="00FD065D"/>
    <w:rsid w:val="00FD1235"/>
    <w:rsid w:val="00FD4990"/>
    <w:rsid w:val="00FD4D72"/>
    <w:rsid w:val="00FE0F99"/>
    <w:rsid w:val="00FE33F1"/>
    <w:rsid w:val="00FE3F97"/>
    <w:rsid w:val="00FE6B3E"/>
    <w:rsid w:val="00FF24F3"/>
    <w:rsid w:val="00FF3328"/>
    <w:rsid w:val="00FF5753"/>
    <w:rsid w:val="00FF58ED"/>
    <w:rsid w:val="00FF7327"/>
    <w:rsid w:val="00FF7F36"/>
    <w:rsid w:val="02C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D9712E55-3EFD-46EC-820E-730434FC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yperlink" Target="https://www.greenbuddies.eu/dom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hyperlink" Target="mailto:veronika.hasova@crestcom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bc2acad2f3763b031adfbda8eab4d575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6070da11af2b557b858d999f863a66e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>Zuzana Pacourková</DisplayName>
        <AccountId>51</AccountId>
        <AccountType/>
      </UserInfo>
      <UserInfo>
        <DisplayName>Klára Černá</DisplayName>
        <AccountId>2760</AccountId>
        <AccountType/>
      </UserInfo>
      <UserInfo>
        <DisplayName>Aleš Spáčil</DisplayName>
        <AccountId>16</AccountId>
        <AccountType/>
      </UserInfo>
      <UserInfo>
        <DisplayName>Ondřej Štěpánek</DisplayName>
        <AccountId>3636</AccountId>
        <AccountType/>
      </UserInfo>
      <UserInfo>
        <DisplayName>Dan Štajner</DisplayName>
        <AccountId>29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4D81-F77A-4419-9093-F6212CC86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A2003-4A1C-4022-AEA7-3A93DA626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4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30</TotalTime>
  <Pages>3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5870</CharactersWithSpaces>
  <SharedDoc>false</SharedDoc>
  <HLinks>
    <vt:vector size="18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15</cp:revision>
  <cp:lastPrinted>2023-05-03T06:23:00Z</cp:lastPrinted>
  <dcterms:created xsi:type="dcterms:W3CDTF">2024-05-20T11:02:00Z</dcterms:created>
  <dcterms:modified xsi:type="dcterms:W3CDTF">2024-05-20T11:45:00Z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